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F3B23" w14:textId="5179474D" w:rsidR="000D2F7F" w:rsidRDefault="000D2F7F" w:rsidP="000D2F7F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es-ES"/>
        </w:rPr>
      </w:pPr>
      <w:r w:rsidRPr="00491468"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084 </w:t>
      </w:r>
      <w:r>
        <w:rPr>
          <w:rFonts w:ascii="Arial" w:eastAsia="Arial" w:hAnsi="Arial" w:cs="Arial"/>
          <w:b/>
          <w:bCs/>
          <w:sz w:val="20"/>
          <w:szCs w:val="20"/>
          <w:lang w:val="es-ES"/>
        </w:rPr>
        <w:t>Desarrollo de</w:t>
      </w:r>
      <w:r w:rsidRPr="00491468"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 una bioeconomía circular y sostenible</w:t>
      </w:r>
      <w:r w:rsidR="00433D93"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 </w:t>
      </w:r>
      <w:r w:rsidRPr="00491468"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para una </w:t>
      </w:r>
      <w:r w:rsidRPr="00066CDF">
        <w:rPr>
          <w:rFonts w:ascii="Arial" w:eastAsia="Arial" w:hAnsi="Arial" w:cs="Arial"/>
          <w:b/>
          <w:bCs/>
          <w:sz w:val="20"/>
          <w:szCs w:val="20"/>
          <w:lang w:val="es-ES"/>
        </w:rPr>
        <w:t>alimentación</w:t>
      </w:r>
      <w:r w:rsidRPr="00491468"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 y </w:t>
      </w:r>
      <w:r>
        <w:rPr>
          <w:rFonts w:ascii="Arial" w:eastAsia="Arial" w:hAnsi="Arial" w:cs="Arial"/>
          <w:b/>
          <w:bCs/>
          <w:sz w:val="20"/>
          <w:szCs w:val="20"/>
          <w:lang w:val="es-ES"/>
        </w:rPr>
        <w:t xml:space="preserve">una </w:t>
      </w:r>
      <w:r w:rsidRPr="00491468">
        <w:rPr>
          <w:rFonts w:ascii="Arial" w:eastAsia="Arial" w:hAnsi="Arial" w:cs="Arial"/>
          <w:b/>
          <w:bCs/>
          <w:sz w:val="20"/>
          <w:szCs w:val="20"/>
          <w:lang w:val="es-ES"/>
        </w:rPr>
        <w:t>agricultura sostenibles</w:t>
      </w:r>
    </w:p>
    <w:p w14:paraId="495176B1" w14:textId="5CBD8EAD" w:rsidR="48DCBCA5" w:rsidRPr="000D2F7F" w:rsidRDefault="48DCBCA5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2127E2F8" w14:textId="70513B6D" w:rsidR="000D2F7F" w:rsidRDefault="000D2F7F" w:rsidP="000D2F7F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945F57">
        <w:rPr>
          <w:rFonts w:ascii="Arial" w:eastAsia="Arial" w:hAnsi="Arial" w:cs="Arial"/>
          <w:sz w:val="20"/>
          <w:szCs w:val="20"/>
          <w:lang w:val="es-ES"/>
        </w:rPr>
        <w:t>RECONOCIENDO</w:t>
      </w:r>
      <w:r>
        <w:rPr>
          <w:rFonts w:ascii="Arial" w:eastAsia="Arial" w:hAnsi="Arial" w:cs="Arial"/>
          <w:sz w:val="20"/>
          <w:szCs w:val="20"/>
          <w:lang w:val="es-ES"/>
        </w:rPr>
        <w:t xml:space="preserve"> que la circularidad es un atributo de la bioeconomía y que los sistemas alimentarios sostenibles y resilientes deben apoyarse en una adaptación basada en los ecosistemas y en prácticas resilientes al clima, que los procesos ecológicos y la biodiversidad pueden contribuir a que los sistemas alimentarios y agrícolas se adapten a los impactos climáticos al tiempo que mantienen o mejoran la integridad de los ecosistemas</w:t>
      </w:r>
      <w:r w:rsidR="00276993">
        <w:rPr>
          <w:rFonts w:ascii="Arial" w:eastAsia="Arial" w:hAnsi="Arial" w:cs="Arial"/>
          <w:sz w:val="20"/>
          <w:szCs w:val="20"/>
          <w:lang w:val="es-ES"/>
        </w:rPr>
        <w:t>,</w:t>
      </w:r>
      <w:r>
        <w:rPr>
          <w:rFonts w:ascii="Arial" w:eastAsia="Arial" w:hAnsi="Arial" w:cs="Arial"/>
          <w:sz w:val="20"/>
          <w:szCs w:val="20"/>
          <w:lang w:val="es-ES"/>
        </w:rPr>
        <w:t xml:space="preserve"> y que los modelos se ajustan muy bien a la circularidad, la sostenibilidad y la resiliencia en las estrategias de bioeconomía;</w:t>
      </w:r>
      <w:r w:rsidR="001C463A" w:rsidRPr="001C463A">
        <w:rPr>
          <w:rFonts w:ascii="Arial" w:eastAsia="Arial" w:hAnsi="Arial" w:cs="Arial"/>
          <w:sz w:val="20"/>
          <w:szCs w:val="20"/>
          <w:lang w:val="es-ES"/>
        </w:rPr>
        <w:t xml:space="preserve"> entre otros, la agrosilvicultura y los cultivos intercalados, la acuicultura restaurativa, la conservación del suelo y los sistemas de compostaje;</w:t>
      </w:r>
    </w:p>
    <w:p w14:paraId="2607D3F0" w14:textId="2E82063C" w:rsidR="000A5021" w:rsidRPr="000D2F7F" w:rsidRDefault="000A5021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262691E6" w14:textId="344BF739" w:rsidR="001C463A" w:rsidRPr="00491468" w:rsidRDefault="001C463A" w:rsidP="001C463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RECONOCIENDO </w:t>
      </w:r>
      <w:r>
        <w:rPr>
          <w:rFonts w:ascii="Arial" w:eastAsia="Arial" w:hAnsi="Arial" w:cs="Arial"/>
          <w:sz w:val="20"/>
          <w:szCs w:val="20"/>
          <w:lang w:val="es-ES"/>
        </w:rPr>
        <w:t xml:space="preserve">TAMBIÉN 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que la bioeconomía abarca todas las actividades de producción y transformación de biomasa, ya sean forestales, agrícolas o acuícolas, y representa nuevas oportunidades para </w:t>
      </w:r>
      <w:r w:rsidRPr="00066CDF">
        <w:rPr>
          <w:rFonts w:ascii="Arial" w:eastAsia="Arial" w:hAnsi="Arial" w:cs="Arial"/>
          <w:sz w:val="20"/>
          <w:szCs w:val="20"/>
          <w:lang w:val="es-ES"/>
        </w:rPr>
        <w:t>actividades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de explotación agrícola y forestal;</w:t>
      </w:r>
    </w:p>
    <w:p w14:paraId="7EECA34B" w14:textId="77777777" w:rsidR="00B51EB0" w:rsidRPr="001C463A" w:rsidRDefault="00B51EB0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2D534A50" w14:textId="0A62767E" w:rsidR="001C463A" w:rsidRDefault="001C463A" w:rsidP="001C463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CONSCIENTE de que la bioeconomía </w:t>
      </w:r>
      <w:r>
        <w:rPr>
          <w:rFonts w:ascii="Arial" w:eastAsia="Arial" w:hAnsi="Arial" w:cs="Arial"/>
          <w:sz w:val="20"/>
          <w:szCs w:val="20"/>
          <w:lang w:val="es-ES"/>
        </w:rPr>
        <w:t xml:space="preserve">circular y sostenible, </w:t>
      </w:r>
      <w:r w:rsidRPr="001C463A">
        <w:rPr>
          <w:rFonts w:ascii="Arial" w:eastAsia="Arial" w:hAnsi="Arial" w:cs="Arial"/>
          <w:sz w:val="20"/>
          <w:szCs w:val="20"/>
          <w:lang w:val="es-ES"/>
        </w:rPr>
        <w:t xml:space="preserve">con las garantías adecuadas para la integridad de los ecosistemas, 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puede contribuir a sistemas agroalimentarios más eficientes, resilientes, equitativos y sostenibles garantizando una mayor seguridad alimentaria, mitigando el cambio climático, conservando la biodiversidad, </w:t>
      </w:r>
      <w:r>
        <w:rPr>
          <w:rFonts w:ascii="Arial" w:eastAsia="Arial" w:hAnsi="Arial" w:cs="Arial"/>
          <w:sz w:val="20"/>
          <w:szCs w:val="20"/>
          <w:lang w:val="es-ES"/>
        </w:rPr>
        <w:t>abordando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la degradación de la</w:t>
      </w:r>
      <w:r>
        <w:rPr>
          <w:rFonts w:ascii="Arial" w:eastAsia="Arial" w:hAnsi="Arial" w:cs="Arial"/>
          <w:sz w:val="20"/>
          <w:szCs w:val="20"/>
          <w:lang w:val="es-ES"/>
        </w:rPr>
        <w:t>s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tierra</w:t>
      </w:r>
      <w:r>
        <w:rPr>
          <w:rFonts w:ascii="Arial" w:eastAsia="Arial" w:hAnsi="Arial" w:cs="Arial"/>
          <w:sz w:val="20"/>
          <w:szCs w:val="20"/>
          <w:lang w:val="es-ES"/>
        </w:rPr>
        <w:t>s</w:t>
      </w:r>
      <w:r w:rsidR="00A20094">
        <w:rPr>
          <w:rFonts w:ascii="Arial" w:eastAsia="Arial" w:hAnsi="Arial" w:cs="Arial"/>
          <w:sz w:val="20"/>
          <w:szCs w:val="20"/>
          <w:lang w:val="es-ES"/>
        </w:rPr>
        <w:t xml:space="preserve"> y velando por la conservación de los suelos</w:t>
      </w:r>
      <w:r w:rsidRPr="00491468">
        <w:rPr>
          <w:rFonts w:ascii="Arial" w:eastAsia="Arial" w:hAnsi="Arial" w:cs="Arial"/>
          <w:sz w:val="20"/>
          <w:szCs w:val="20"/>
          <w:lang w:val="es-ES"/>
        </w:rPr>
        <w:t>, estimulando el crecimiento económico, promoviendo la innovación, optimizando el consumo de recursos y reduciendo la generación de residuos;</w:t>
      </w:r>
    </w:p>
    <w:p w14:paraId="30AE6487" w14:textId="77777777" w:rsidR="001C463A" w:rsidRPr="001C463A" w:rsidRDefault="001C463A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76445D0A" w14:textId="01A4468C" w:rsidR="00A20094" w:rsidRPr="00491468" w:rsidRDefault="00A20094" w:rsidP="00A20094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RECORDANDO que la bioeconomía </w:t>
      </w:r>
      <w:r>
        <w:rPr>
          <w:rFonts w:ascii="Arial" w:eastAsia="Arial" w:hAnsi="Arial" w:cs="Arial"/>
          <w:sz w:val="20"/>
          <w:szCs w:val="20"/>
          <w:lang w:val="es-ES"/>
        </w:rPr>
        <w:t xml:space="preserve">circular y sostenible </w:t>
      </w:r>
      <w:r w:rsidRPr="00491468">
        <w:rPr>
          <w:rFonts w:ascii="Arial" w:eastAsia="Arial" w:hAnsi="Arial" w:cs="Arial"/>
          <w:sz w:val="20"/>
          <w:szCs w:val="20"/>
          <w:lang w:val="es-ES"/>
        </w:rPr>
        <w:t>puede proteger los medios de vida de los territorios rurales, particularmente en los países menos desarrollados, y brindar oportunidades de empleo a mujeres</w:t>
      </w:r>
      <w:r>
        <w:rPr>
          <w:rFonts w:ascii="Arial" w:eastAsia="Arial" w:hAnsi="Arial" w:cs="Arial"/>
          <w:sz w:val="20"/>
          <w:szCs w:val="20"/>
          <w:lang w:val="es-ES"/>
        </w:rPr>
        <w:t xml:space="preserve"> y niñas,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la juventud, los </w:t>
      </w:r>
      <w:r>
        <w:rPr>
          <w:rFonts w:ascii="Arial" w:eastAsia="Arial" w:hAnsi="Arial" w:cs="Arial"/>
          <w:sz w:val="20"/>
          <w:szCs w:val="20"/>
          <w:lang w:val="es-ES"/>
        </w:rPr>
        <w:t>p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ueblos Indígenas y las </w:t>
      </w:r>
      <w:r w:rsidRPr="00066CDF">
        <w:rPr>
          <w:rFonts w:ascii="Arial" w:eastAsia="Arial" w:hAnsi="Arial" w:cs="Arial"/>
          <w:sz w:val="20"/>
          <w:szCs w:val="20"/>
          <w:lang w:val="es-ES"/>
        </w:rPr>
        <w:t>comunidades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>
        <w:rPr>
          <w:rFonts w:ascii="Arial" w:eastAsia="Arial" w:hAnsi="Arial" w:cs="Arial"/>
          <w:sz w:val="20"/>
          <w:szCs w:val="20"/>
          <w:lang w:val="es-ES"/>
        </w:rPr>
        <w:t>L</w:t>
      </w:r>
      <w:r w:rsidRPr="00491468">
        <w:rPr>
          <w:rFonts w:ascii="Arial" w:eastAsia="Arial" w:hAnsi="Arial" w:cs="Arial"/>
          <w:sz w:val="20"/>
          <w:szCs w:val="20"/>
          <w:lang w:val="es-ES"/>
        </w:rPr>
        <w:t>ocales;</w:t>
      </w:r>
    </w:p>
    <w:p w14:paraId="75548626" w14:textId="77777777" w:rsidR="00100C2A" w:rsidRDefault="00100C2A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7EF0A83D" w14:textId="7FFBAE24" w:rsidR="00B51EB0" w:rsidRDefault="00100C2A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100C2A">
        <w:rPr>
          <w:rFonts w:ascii="Arial" w:eastAsia="Arial" w:hAnsi="Arial" w:cs="Arial"/>
          <w:sz w:val="20"/>
          <w:szCs w:val="20"/>
          <w:lang w:val="es-ES"/>
        </w:rPr>
        <w:t xml:space="preserve">RECORDANDO el Marco Mundial </w:t>
      </w:r>
      <w:r>
        <w:rPr>
          <w:rFonts w:ascii="Arial" w:eastAsia="Arial" w:hAnsi="Arial" w:cs="Arial"/>
          <w:sz w:val="20"/>
          <w:szCs w:val="20"/>
          <w:lang w:val="es-ES"/>
        </w:rPr>
        <w:t>de Biod</w:t>
      </w:r>
      <w:r w:rsidRPr="00100C2A">
        <w:rPr>
          <w:rFonts w:ascii="Arial" w:eastAsia="Arial" w:hAnsi="Arial" w:cs="Arial"/>
          <w:sz w:val="20"/>
          <w:szCs w:val="20"/>
          <w:lang w:val="es-ES"/>
        </w:rPr>
        <w:t>iversidad Biológica de Kunming-Montreal</w:t>
      </w:r>
      <w:r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18C5C712" w14:textId="77777777" w:rsidR="00100C2A" w:rsidRDefault="00100C2A" w:rsidP="00100C2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9942EC5" w14:textId="78A5ECE5" w:rsidR="00100C2A" w:rsidRPr="00491468" w:rsidRDefault="00100C2A" w:rsidP="00100C2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>
        <w:rPr>
          <w:rFonts w:ascii="Arial" w:eastAsia="Arial" w:hAnsi="Arial" w:cs="Arial"/>
          <w:sz w:val="20"/>
          <w:szCs w:val="20"/>
          <w:lang w:val="es-ES"/>
        </w:rPr>
        <w:t xml:space="preserve">RECONOCIENDO 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el trabajo de la Organización de las Naciones Unidas para la Alimentación y la Agricultura (FAO) en el campo de la bioeconomía y RECORDANDO que, según la FAO, la bioeconomía se basa en la producción, utilización, conservación y regeneración de recursos biológicos, incluidos los conocimientos, la ciencia, la tecnología y la innovación </w:t>
      </w:r>
      <w:r w:rsidR="00276993">
        <w:rPr>
          <w:rFonts w:ascii="Arial" w:eastAsia="Arial" w:hAnsi="Arial" w:cs="Arial"/>
          <w:sz w:val="20"/>
          <w:szCs w:val="20"/>
          <w:lang w:val="es-ES"/>
        </w:rPr>
        <w:t>conexos</w:t>
      </w:r>
      <w:r w:rsidRPr="00491468">
        <w:rPr>
          <w:rFonts w:ascii="Arial" w:eastAsia="Arial" w:hAnsi="Arial" w:cs="Arial"/>
          <w:sz w:val="20"/>
          <w:szCs w:val="20"/>
          <w:lang w:val="es-ES"/>
        </w:rPr>
        <w:t>, con el objetivo de proporcionar soluciones sostenibles (información, productos, procesos y servicios) en todos los sectores económicos, permitiendo así una transformación hacia una economía sostenible; y</w:t>
      </w:r>
    </w:p>
    <w:p w14:paraId="66468884" w14:textId="77777777" w:rsidR="00100C2A" w:rsidRPr="00100C2A" w:rsidRDefault="00100C2A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115A7B84" w14:textId="5A3C0C5E" w:rsidR="0098137D" w:rsidRDefault="0098137D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HACIENDO NOTAR que la bioeconomía está creciendo considerablemente </w:t>
      </w:r>
      <w:r w:rsidRPr="00066CDF">
        <w:rPr>
          <w:rFonts w:ascii="Arial" w:eastAsia="Arial" w:hAnsi="Arial" w:cs="Arial"/>
          <w:sz w:val="20"/>
          <w:szCs w:val="20"/>
          <w:lang w:val="es-ES"/>
        </w:rPr>
        <w:t>y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que se están aplicando estrategias en 23 países y tres regiones</w:t>
      </w:r>
      <w:r w:rsidRPr="0098137D">
        <w:rPr>
          <w:rFonts w:ascii="Arial" w:eastAsia="Arial" w:hAnsi="Arial" w:cs="Arial"/>
          <w:sz w:val="20"/>
          <w:szCs w:val="20"/>
          <w:lang w:val="es-ES"/>
        </w:rPr>
        <w:t>, pero destacando que se necesita claridad y coherencia en el enfoque en beneficio de la naturaleza y las personas;</w:t>
      </w:r>
    </w:p>
    <w:p w14:paraId="4D7E54AE" w14:textId="77777777" w:rsidR="00C8324F" w:rsidRDefault="00C8324F" w:rsidP="00C8324F">
      <w:pPr>
        <w:spacing w:after="0" w:line="240" w:lineRule="auto"/>
        <w:rPr>
          <w:rFonts w:ascii="Arial" w:hAnsi="Arial" w:cs="Arial"/>
          <w:b/>
          <w:bCs/>
          <w:sz w:val="20"/>
          <w:szCs w:val="20"/>
          <w:lang w:val="es-ES"/>
        </w:rPr>
      </w:pPr>
    </w:p>
    <w:p w14:paraId="19720486" w14:textId="02838343" w:rsidR="00C8324F" w:rsidRPr="00491468" w:rsidRDefault="00C8324F" w:rsidP="00C8324F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es-ES"/>
        </w:rPr>
      </w:pPr>
      <w:r w:rsidRPr="00491468">
        <w:rPr>
          <w:rFonts w:ascii="Arial" w:hAnsi="Arial" w:cs="Arial"/>
          <w:b/>
          <w:bCs/>
          <w:sz w:val="20"/>
          <w:szCs w:val="20"/>
          <w:lang w:val="es-ES"/>
        </w:rPr>
        <w:t>El Congreso Mundial de la Naturaleza de la UICN 2025, en su sesión de Abu Dabi (Emiratos Árabes Unidos)</w:t>
      </w:r>
      <w:r w:rsidRPr="00491468">
        <w:rPr>
          <w:rFonts w:ascii="Arial" w:eastAsia="Arial" w:hAnsi="Arial" w:cs="Arial"/>
          <w:b/>
          <w:bCs/>
          <w:sz w:val="20"/>
          <w:szCs w:val="20"/>
          <w:lang w:val="es-ES"/>
        </w:rPr>
        <w:t>:</w:t>
      </w:r>
    </w:p>
    <w:p w14:paraId="00540B85" w14:textId="462458C7" w:rsidR="00204378" w:rsidRPr="00C8324F" w:rsidRDefault="00204378" w:rsidP="00204378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  <w:lang w:val="es-ES"/>
        </w:rPr>
      </w:pPr>
    </w:p>
    <w:p w14:paraId="2FDC4D70" w14:textId="641A963B" w:rsidR="00C8324F" w:rsidRPr="00491468" w:rsidRDefault="00C8324F" w:rsidP="00C8324F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  <w:r w:rsidRPr="00491468">
        <w:rPr>
          <w:rFonts w:ascii="Arial" w:eastAsia="Arial" w:hAnsi="Arial" w:cs="Arial"/>
          <w:sz w:val="20"/>
          <w:szCs w:val="20"/>
          <w:lang w:val="es-ES"/>
        </w:rPr>
        <w:t>1. EXHORTA al Director General a apoyar la di</w:t>
      </w:r>
      <w:r>
        <w:rPr>
          <w:rFonts w:ascii="Arial" w:eastAsia="Arial" w:hAnsi="Arial" w:cs="Arial"/>
          <w:sz w:val="20"/>
          <w:szCs w:val="20"/>
          <w:lang w:val="es-ES"/>
        </w:rPr>
        <w:t>vulgación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y aplicaci</w:t>
      </w:r>
      <w:r>
        <w:rPr>
          <w:rFonts w:ascii="Arial" w:eastAsia="Arial" w:hAnsi="Arial" w:cs="Arial"/>
          <w:sz w:val="20"/>
          <w:szCs w:val="20"/>
          <w:lang w:val="es-ES"/>
        </w:rPr>
        <w:t>ón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de</w:t>
      </w:r>
      <w:r>
        <w:rPr>
          <w:rFonts w:ascii="Arial" w:eastAsia="Arial" w:hAnsi="Arial" w:cs="Arial"/>
          <w:sz w:val="20"/>
          <w:szCs w:val="20"/>
          <w:lang w:val="es-ES"/>
        </w:rPr>
        <w:t xml:space="preserve"> una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bioeconomía </w:t>
      </w:r>
      <w:r>
        <w:rPr>
          <w:rFonts w:ascii="Arial" w:eastAsia="Arial" w:hAnsi="Arial" w:cs="Arial"/>
          <w:sz w:val="20"/>
          <w:szCs w:val="20"/>
          <w:lang w:val="es-ES"/>
        </w:rPr>
        <w:t xml:space="preserve">circular y 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sostenible </w:t>
      </w:r>
      <w:r w:rsidR="00E34B9A">
        <w:rPr>
          <w:rFonts w:ascii="Arial" w:eastAsia="Arial" w:hAnsi="Arial" w:cs="Arial"/>
          <w:sz w:val="20"/>
          <w:szCs w:val="20"/>
          <w:lang w:val="es-ES"/>
        </w:rPr>
        <w:t xml:space="preserve">para la alimentación y la agricultura </w:t>
      </w:r>
      <w:r w:rsidRPr="00491468">
        <w:rPr>
          <w:rFonts w:ascii="Arial" w:eastAsia="Arial" w:hAnsi="Arial" w:cs="Arial"/>
          <w:sz w:val="20"/>
          <w:szCs w:val="20"/>
          <w:lang w:val="es-ES"/>
        </w:rPr>
        <w:t>en sus proyectos y programas para la protección y conservación de la biodiversidad y los ecosistemas;</w:t>
      </w:r>
    </w:p>
    <w:p w14:paraId="7DC2A90D" w14:textId="77777777" w:rsidR="00C8324F" w:rsidRPr="00C8324F" w:rsidRDefault="00C8324F" w:rsidP="00DE7338">
      <w:pPr>
        <w:spacing w:after="0" w:line="240" w:lineRule="auto"/>
        <w:rPr>
          <w:rFonts w:ascii="Arial" w:hAnsi="Arial" w:cs="Arial"/>
          <w:sz w:val="20"/>
          <w:szCs w:val="20"/>
          <w:lang w:val="es-ES"/>
        </w:rPr>
      </w:pPr>
    </w:p>
    <w:p w14:paraId="154D29A1" w14:textId="77777777" w:rsidR="00E34B9A" w:rsidRPr="00491468" w:rsidRDefault="00E34B9A" w:rsidP="00E34B9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2. ALIENTA a los Estados y los Miembros de la UICN a aplicar políticas, estrategias y planes de acción nacionales </w:t>
      </w:r>
      <w:r>
        <w:rPr>
          <w:rFonts w:ascii="Arial" w:eastAsia="Arial" w:hAnsi="Arial" w:cs="Arial"/>
          <w:sz w:val="20"/>
          <w:szCs w:val="20"/>
          <w:lang w:val="es-ES"/>
        </w:rPr>
        <w:t>para una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bioeconomía </w:t>
      </w:r>
      <w:r>
        <w:rPr>
          <w:rFonts w:ascii="Arial" w:eastAsia="Arial" w:hAnsi="Arial" w:cs="Arial"/>
          <w:sz w:val="20"/>
          <w:szCs w:val="20"/>
          <w:lang w:val="es-ES"/>
        </w:rPr>
        <w:t xml:space="preserve">circular y </w:t>
      </w:r>
      <w:r w:rsidRPr="00491468">
        <w:rPr>
          <w:rFonts w:ascii="Arial" w:eastAsia="Arial" w:hAnsi="Arial" w:cs="Arial"/>
          <w:sz w:val="20"/>
          <w:szCs w:val="20"/>
          <w:lang w:val="es-ES"/>
        </w:rPr>
        <w:t>sostenible, promoviendo la participación</w:t>
      </w:r>
      <w:r>
        <w:rPr>
          <w:rFonts w:ascii="Arial" w:eastAsia="Arial" w:hAnsi="Arial" w:cs="Arial"/>
          <w:sz w:val="20"/>
          <w:szCs w:val="20"/>
          <w:lang w:val="es-ES"/>
        </w:rPr>
        <w:t xml:space="preserve"> inclusiva de los </w:t>
      </w:r>
      <w:r w:rsidRPr="00491468">
        <w:rPr>
          <w:rFonts w:ascii="Arial" w:eastAsia="Arial" w:hAnsi="Arial" w:cs="Arial"/>
          <w:sz w:val="20"/>
          <w:szCs w:val="20"/>
          <w:lang w:val="es-ES"/>
        </w:rPr>
        <w:t>interesados;</w:t>
      </w:r>
    </w:p>
    <w:p w14:paraId="21CB74D1" w14:textId="77777777" w:rsidR="00E34B9A" w:rsidRPr="00E34B9A" w:rsidRDefault="00E34B9A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79C103C4" w14:textId="77777777" w:rsidR="00E34B9A" w:rsidRPr="00491468" w:rsidRDefault="00E34B9A" w:rsidP="00E34B9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3. INVITA </w:t>
      </w:r>
      <w:r>
        <w:rPr>
          <w:rFonts w:ascii="Arial" w:eastAsia="Arial" w:hAnsi="Arial" w:cs="Arial"/>
          <w:sz w:val="20"/>
          <w:szCs w:val="20"/>
          <w:lang w:val="es-ES"/>
        </w:rPr>
        <w:t xml:space="preserve">TAMBIÉN 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a los Estados y los Miembros de la UICN a </w:t>
      </w:r>
      <w:r>
        <w:rPr>
          <w:rFonts w:ascii="Arial" w:eastAsia="Arial" w:hAnsi="Arial" w:cs="Arial"/>
          <w:sz w:val="20"/>
          <w:szCs w:val="20"/>
          <w:lang w:val="es-ES"/>
        </w:rPr>
        <w:t>plantearse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la sobriedad, sostenibilidad y circularidad, que comprenden el reciclado y la optimización del uso de los recursos biológicos </w:t>
      </w:r>
      <w:r>
        <w:rPr>
          <w:rFonts w:ascii="Arial" w:eastAsia="Arial" w:hAnsi="Arial" w:cs="Arial"/>
          <w:sz w:val="20"/>
          <w:szCs w:val="20"/>
          <w:lang w:val="es-ES"/>
        </w:rPr>
        <w:t>durante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todo su ciclo de vida;</w:t>
      </w:r>
    </w:p>
    <w:p w14:paraId="6467B614" w14:textId="77777777" w:rsidR="00E34B9A" w:rsidRPr="00E34B9A" w:rsidRDefault="00E34B9A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6E77248" w14:textId="1F02BE7D" w:rsidR="00E34B9A" w:rsidRPr="00E34B9A" w:rsidRDefault="00E34B9A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491468">
        <w:rPr>
          <w:rFonts w:ascii="Arial" w:eastAsia="Arial" w:hAnsi="Arial" w:cs="Arial"/>
          <w:sz w:val="20"/>
          <w:szCs w:val="20"/>
          <w:lang w:val="es-ES"/>
        </w:rPr>
        <w:t>4. INVITA a los Estados y los Miembros de la UICN a llevar a cabo una bioeconomía circular y sostenible que dé una alta prioridad a la seguridad alimentaria, la nutrición y la protección de los ecosistemas, teniendo en cuenta todos los riesgos y efectos posibles de la bioeconomía para la biodiversidad, mediante sistemas de producción sostenibles y resilientes</w:t>
      </w:r>
      <w:r>
        <w:rPr>
          <w:rFonts w:ascii="Arial" w:eastAsia="Arial" w:hAnsi="Arial" w:cs="Arial"/>
          <w:sz w:val="20"/>
          <w:szCs w:val="20"/>
          <w:lang w:val="es-ES"/>
        </w:rPr>
        <w:t xml:space="preserve">, identificando y abordando </w:t>
      </w:r>
      <w:r>
        <w:rPr>
          <w:rFonts w:ascii="Arial" w:eastAsia="Arial" w:hAnsi="Arial" w:cs="Arial"/>
          <w:sz w:val="20"/>
          <w:szCs w:val="20"/>
          <w:lang w:val="es-ES"/>
        </w:rPr>
        <w:lastRenderedPageBreak/>
        <w:t>al mismo tiempo los obstáculos financieros, logísticos y de mercado a los que se enfrentan los pequeños productores a la hora de adoptar prácticas respetuosas con la biodiversidad y circulares</w:t>
      </w:r>
      <w:r w:rsidRPr="00491468">
        <w:rPr>
          <w:rFonts w:ascii="Arial" w:eastAsia="Arial" w:hAnsi="Arial" w:cs="Arial"/>
          <w:sz w:val="20"/>
          <w:szCs w:val="20"/>
          <w:lang w:val="es-ES"/>
        </w:rPr>
        <w:t>;</w:t>
      </w:r>
    </w:p>
    <w:p w14:paraId="6AF2D99B" w14:textId="77777777" w:rsidR="00A5288F" w:rsidRPr="00E34B9A" w:rsidRDefault="00A5288F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23DFF455" w14:textId="3ED6F880" w:rsidR="00E34B9A" w:rsidRPr="00491468" w:rsidRDefault="00E34B9A" w:rsidP="00E34B9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>
        <w:rPr>
          <w:rFonts w:ascii="Arial" w:eastAsia="Arial" w:hAnsi="Arial" w:cs="Arial"/>
          <w:sz w:val="20"/>
          <w:szCs w:val="20"/>
          <w:lang w:val="es-ES"/>
        </w:rPr>
        <w:t>4.b INVITA a integrar la adaptación basada en ecosistemas y las prácticas resilientes al clima en las estrategias de bioeconomía sostenible y circular, en particular en relación con la agricultura, la acuicultura y la silvicultura, para mejorar la conservación de la biodiversidad, la seguridad alimentaria y la resiliencia de la comunidad frente al cambio climático;</w:t>
      </w:r>
    </w:p>
    <w:p w14:paraId="7BC73241" w14:textId="77777777" w:rsidR="00E34B9A" w:rsidRPr="00E34B9A" w:rsidRDefault="00E34B9A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0F59BB6C" w14:textId="419387F5" w:rsidR="00E34B9A" w:rsidRPr="00491468" w:rsidRDefault="00E34B9A" w:rsidP="00E34B9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5. ALIENTA a los Estados y los Miembros de la UICN a desarrollar una bioeconomía sostenible y circular </w:t>
      </w:r>
      <w:r>
        <w:rPr>
          <w:rFonts w:ascii="Arial" w:eastAsia="Arial" w:hAnsi="Arial" w:cs="Arial"/>
          <w:sz w:val="20"/>
          <w:szCs w:val="20"/>
          <w:lang w:val="es-ES"/>
        </w:rPr>
        <w:t xml:space="preserve">con las garantías adecuadas </w:t>
      </w:r>
      <w:r w:rsidRPr="00491468">
        <w:rPr>
          <w:rFonts w:ascii="Arial" w:eastAsia="Arial" w:hAnsi="Arial" w:cs="Arial"/>
          <w:sz w:val="20"/>
          <w:szCs w:val="20"/>
          <w:lang w:val="es-ES"/>
        </w:rPr>
        <w:t>que no esté únicamente basada en la investigación de nuevas tecnologías sino también en los conocimientos</w:t>
      </w:r>
      <w:r>
        <w:rPr>
          <w:rFonts w:ascii="Arial" w:eastAsia="Arial" w:hAnsi="Arial" w:cs="Arial"/>
          <w:sz w:val="20"/>
          <w:szCs w:val="20"/>
          <w:lang w:val="es-ES"/>
        </w:rPr>
        <w:t xml:space="preserve">, la ciencia y las prácticas Indígenas 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y </w:t>
      </w:r>
      <w:r>
        <w:rPr>
          <w:rFonts w:ascii="Arial" w:eastAsia="Arial" w:hAnsi="Arial" w:cs="Arial"/>
          <w:sz w:val="20"/>
          <w:szCs w:val="20"/>
          <w:lang w:val="es-ES"/>
        </w:rPr>
        <w:t xml:space="preserve">en </w:t>
      </w:r>
      <w:r w:rsidRPr="00491468">
        <w:rPr>
          <w:rFonts w:ascii="Arial" w:eastAsia="Arial" w:hAnsi="Arial" w:cs="Arial"/>
          <w:sz w:val="20"/>
          <w:szCs w:val="20"/>
          <w:lang w:val="es-ES"/>
        </w:rPr>
        <w:t>el desarrollo de soluciones innovadoras basadas en la naturaleza como la agroecología; y</w:t>
      </w:r>
    </w:p>
    <w:p w14:paraId="43B4EFA1" w14:textId="77777777" w:rsidR="00E34B9A" w:rsidRPr="00E34B9A" w:rsidRDefault="00E34B9A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p w14:paraId="521C768E" w14:textId="0FDAA1AE" w:rsidR="00E34B9A" w:rsidRDefault="00E34B9A" w:rsidP="00E34B9A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6. INVITA a los Estados y los Miembros de la UICN a </w:t>
      </w:r>
      <w:r>
        <w:rPr>
          <w:rFonts w:ascii="Arial" w:eastAsia="Arial" w:hAnsi="Arial" w:cs="Arial"/>
          <w:sz w:val="20"/>
          <w:szCs w:val="20"/>
          <w:lang w:val="es-ES"/>
        </w:rPr>
        <w:t>seguir investigando y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>
        <w:rPr>
          <w:rFonts w:ascii="Arial" w:eastAsia="Arial" w:hAnsi="Arial" w:cs="Arial"/>
          <w:sz w:val="20"/>
          <w:szCs w:val="20"/>
          <w:lang w:val="es-ES"/>
        </w:rPr>
        <w:t>desarrollando una bioeconomía circular y sostenible basada en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 </w:t>
      </w:r>
      <w:r>
        <w:rPr>
          <w:rFonts w:ascii="Arial" w:eastAsia="Arial" w:hAnsi="Arial" w:cs="Arial"/>
          <w:sz w:val="20"/>
          <w:szCs w:val="20"/>
          <w:lang w:val="es-ES"/>
        </w:rPr>
        <w:t xml:space="preserve">metodologías y </w:t>
      </w:r>
      <w:r w:rsidRPr="00491468">
        <w:rPr>
          <w:rFonts w:ascii="Arial" w:eastAsia="Arial" w:hAnsi="Arial" w:cs="Arial"/>
          <w:sz w:val="20"/>
          <w:szCs w:val="20"/>
          <w:lang w:val="es-ES"/>
        </w:rPr>
        <w:t xml:space="preserve">criterios transparentes, comparables, medibles y basados en </w:t>
      </w:r>
      <w:r>
        <w:rPr>
          <w:rFonts w:ascii="Arial" w:eastAsia="Arial" w:hAnsi="Arial" w:cs="Arial"/>
          <w:sz w:val="20"/>
          <w:szCs w:val="20"/>
          <w:lang w:val="es-ES"/>
        </w:rPr>
        <w:t>datos científicos</w:t>
      </w:r>
      <w:r w:rsidRPr="00491468">
        <w:rPr>
          <w:rFonts w:ascii="Arial" w:eastAsia="Arial" w:hAnsi="Arial" w:cs="Arial"/>
          <w:sz w:val="20"/>
          <w:szCs w:val="20"/>
          <w:lang w:val="es-ES"/>
        </w:rPr>
        <w:t>.</w:t>
      </w:r>
      <w:r>
        <w:rPr>
          <w:rFonts w:ascii="Arial" w:eastAsia="Arial" w:hAnsi="Arial" w:cs="Arial"/>
          <w:sz w:val="20"/>
          <w:szCs w:val="20"/>
          <w:lang w:val="es-ES"/>
        </w:rPr>
        <w:t xml:space="preserve"> La capacidad de demostrar y hacer un seguimiento de los beneficios de la sostenibilidad es importante para obtener la aceptación social y la confianza del público, para monetizar los atributos ambientales en los mercados de bioeconomía y para evaluar y divulgar públicamente</w:t>
      </w:r>
      <w:r w:rsidR="00433D93">
        <w:rPr>
          <w:rFonts w:ascii="Arial" w:eastAsia="Arial" w:hAnsi="Arial" w:cs="Arial"/>
          <w:sz w:val="20"/>
          <w:szCs w:val="20"/>
          <w:lang w:val="es-ES"/>
        </w:rPr>
        <w:t>, cuando proceda,</w:t>
      </w:r>
      <w:r>
        <w:rPr>
          <w:rFonts w:ascii="Arial" w:eastAsia="Arial" w:hAnsi="Arial" w:cs="Arial"/>
          <w:sz w:val="20"/>
          <w:szCs w:val="20"/>
          <w:lang w:val="es-ES"/>
        </w:rPr>
        <w:t xml:space="preserve"> el impacto de la bioeconomía en las metas de seguridad alimentaria</w:t>
      </w:r>
      <w:r w:rsidR="00433D93">
        <w:rPr>
          <w:rFonts w:ascii="Arial" w:eastAsia="Arial" w:hAnsi="Arial" w:cs="Arial"/>
          <w:sz w:val="20"/>
          <w:szCs w:val="20"/>
          <w:lang w:val="es-ES"/>
        </w:rPr>
        <w:t xml:space="preserve"> y biodiversidad</w:t>
      </w:r>
      <w:r>
        <w:rPr>
          <w:rFonts w:ascii="Arial" w:eastAsia="Arial" w:hAnsi="Arial" w:cs="Arial"/>
          <w:sz w:val="20"/>
          <w:szCs w:val="20"/>
          <w:lang w:val="es-ES"/>
        </w:rPr>
        <w:t xml:space="preserve">. </w:t>
      </w:r>
    </w:p>
    <w:p w14:paraId="1975AA8C" w14:textId="77777777" w:rsidR="00E34B9A" w:rsidRPr="00E34B9A" w:rsidRDefault="00E34B9A" w:rsidP="001E2601">
      <w:pPr>
        <w:spacing w:after="0" w:line="240" w:lineRule="auto"/>
        <w:rPr>
          <w:rFonts w:ascii="Arial" w:eastAsia="Arial" w:hAnsi="Arial" w:cs="Arial"/>
          <w:sz w:val="20"/>
          <w:szCs w:val="20"/>
          <w:lang w:val="es-ES"/>
        </w:rPr>
      </w:pPr>
    </w:p>
    <w:sectPr w:rsidR="00E34B9A" w:rsidRPr="00E34B9A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E32E914"/>
    <w:rsid w:val="00093C48"/>
    <w:rsid w:val="000A5021"/>
    <w:rsid w:val="000D2F7F"/>
    <w:rsid w:val="000E0EA9"/>
    <w:rsid w:val="00100C2A"/>
    <w:rsid w:val="00111F77"/>
    <w:rsid w:val="00125798"/>
    <w:rsid w:val="00183FC0"/>
    <w:rsid w:val="001C463A"/>
    <w:rsid w:val="001D55C1"/>
    <w:rsid w:val="001D68D4"/>
    <w:rsid w:val="001E2601"/>
    <w:rsid w:val="00200E0F"/>
    <w:rsid w:val="00204378"/>
    <w:rsid w:val="00213A0A"/>
    <w:rsid w:val="0022647D"/>
    <w:rsid w:val="00257E0F"/>
    <w:rsid w:val="00267663"/>
    <w:rsid w:val="00276993"/>
    <w:rsid w:val="00306452"/>
    <w:rsid w:val="003650F7"/>
    <w:rsid w:val="00366785"/>
    <w:rsid w:val="003715FA"/>
    <w:rsid w:val="0037169E"/>
    <w:rsid w:val="003B5148"/>
    <w:rsid w:val="003D3EB9"/>
    <w:rsid w:val="00400A8D"/>
    <w:rsid w:val="00410DE2"/>
    <w:rsid w:val="00433D93"/>
    <w:rsid w:val="004B10B9"/>
    <w:rsid w:val="00524C08"/>
    <w:rsid w:val="005367CC"/>
    <w:rsid w:val="00540D13"/>
    <w:rsid w:val="005553A0"/>
    <w:rsid w:val="00560660"/>
    <w:rsid w:val="005D6F5E"/>
    <w:rsid w:val="005F5985"/>
    <w:rsid w:val="006344A2"/>
    <w:rsid w:val="00634769"/>
    <w:rsid w:val="00673423"/>
    <w:rsid w:val="006902F7"/>
    <w:rsid w:val="006B0F0C"/>
    <w:rsid w:val="006C10BA"/>
    <w:rsid w:val="006D51C4"/>
    <w:rsid w:val="007170B0"/>
    <w:rsid w:val="00723BAA"/>
    <w:rsid w:val="007536B1"/>
    <w:rsid w:val="007A6ED8"/>
    <w:rsid w:val="008870AA"/>
    <w:rsid w:val="008D7009"/>
    <w:rsid w:val="008E6BD6"/>
    <w:rsid w:val="008F6F4C"/>
    <w:rsid w:val="00906FD2"/>
    <w:rsid w:val="009254E5"/>
    <w:rsid w:val="0098137D"/>
    <w:rsid w:val="00981658"/>
    <w:rsid w:val="009A2CF1"/>
    <w:rsid w:val="009E170A"/>
    <w:rsid w:val="00A12553"/>
    <w:rsid w:val="00A20094"/>
    <w:rsid w:val="00A30470"/>
    <w:rsid w:val="00A369FD"/>
    <w:rsid w:val="00A5288F"/>
    <w:rsid w:val="00A91B06"/>
    <w:rsid w:val="00A97167"/>
    <w:rsid w:val="00AE3970"/>
    <w:rsid w:val="00AF4047"/>
    <w:rsid w:val="00AF5510"/>
    <w:rsid w:val="00B16989"/>
    <w:rsid w:val="00B40E32"/>
    <w:rsid w:val="00B51EB0"/>
    <w:rsid w:val="00B57AEE"/>
    <w:rsid w:val="00B73B1A"/>
    <w:rsid w:val="00B762CB"/>
    <w:rsid w:val="00BA2249"/>
    <w:rsid w:val="00BD4328"/>
    <w:rsid w:val="00BF5876"/>
    <w:rsid w:val="00C14EF6"/>
    <w:rsid w:val="00C30F8F"/>
    <w:rsid w:val="00C379D2"/>
    <w:rsid w:val="00C60F9D"/>
    <w:rsid w:val="00C73DB3"/>
    <w:rsid w:val="00C82958"/>
    <w:rsid w:val="00C8324F"/>
    <w:rsid w:val="00CA5408"/>
    <w:rsid w:val="00D30EF6"/>
    <w:rsid w:val="00D44EBF"/>
    <w:rsid w:val="00D5100B"/>
    <w:rsid w:val="00D64378"/>
    <w:rsid w:val="00D661CB"/>
    <w:rsid w:val="00D92B38"/>
    <w:rsid w:val="00D97472"/>
    <w:rsid w:val="00DA42D7"/>
    <w:rsid w:val="00DC79F6"/>
    <w:rsid w:val="00DE7338"/>
    <w:rsid w:val="00E34B9A"/>
    <w:rsid w:val="00E77193"/>
    <w:rsid w:val="00EA49FF"/>
    <w:rsid w:val="00EB3C28"/>
    <w:rsid w:val="00F00DD5"/>
    <w:rsid w:val="00F3387D"/>
    <w:rsid w:val="00F34EBD"/>
    <w:rsid w:val="00F66B67"/>
    <w:rsid w:val="00F752A7"/>
    <w:rsid w:val="00F83C95"/>
    <w:rsid w:val="1CC232E8"/>
    <w:rsid w:val="307ACD9A"/>
    <w:rsid w:val="316C37DA"/>
    <w:rsid w:val="3E32E914"/>
    <w:rsid w:val="48DCBCA5"/>
    <w:rsid w:val="663A33FC"/>
    <w:rsid w:val="7C80C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32E914"/>
  <w15:chartTrackingRefBased/>
  <w15:docId w15:val="{C3CBAFB5-D332-4746-B2A8-761E8D783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1E260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D30E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30E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0EF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0E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0EF6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C832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1703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609C0D-F305-42C4-82D5-A6FC1ECD4E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32433A-2DE8-4767-8DCF-C91900D455AB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D0D7AB6E-4F18-4211-A8F9-2C522A82ACA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D448C4-24FF-403A-859F-4703D2C52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824</Words>
  <Characters>4697</Characters>
  <Application>Microsoft Office Word</Application>
  <DocSecurity>4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2</cp:revision>
  <dcterms:created xsi:type="dcterms:W3CDTF">2025-10-13T16:37:00Z</dcterms:created>
  <dcterms:modified xsi:type="dcterms:W3CDTF">2025-10-13T16:37:00Z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